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38AD836E" w:rsidR="00952130" w:rsidRPr="0025739C" w:rsidRDefault="00952130" w:rsidP="00952130">
      <w:pPr>
        <w:pStyle w:val="Header"/>
        <w:tabs>
          <w:tab w:val="right" w:pos="9639"/>
        </w:tabs>
        <w:rPr>
          <w:bCs w:val="0"/>
          <w:noProof w:val="0"/>
          <w:sz w:val="24"/>
          <w:szCs w:val="24"/>
        </w:rPr>
      </w:pPr>
      <w:bookmarkStart w:id="0" w:name="_Hlk527628066"/>
      <w:r w:rsidRPr="0025739C">
        <w:rPr>
          <w:noProof w:val="0"/>
          <w:sz w:val="24"/>
          <w:szCs w:val="24"/>
        </w:rPr>
        <w:t>3GPP TSG-RAN WG3 Meeting #10</w:t>
      </w:r>
      <w:r w:rsidR="00DE24E3">
        <w:rPr>
          <w:noProof w:val="0"/>
          <w:sz w:val="24"/>
          <w:szCs w:val="24"/>
        </w:rPr>
        <w:t>9</w:t>
      </w:r>
      <w:r w:rsidRPr="0025739C">
        <w:rPr>
          <w:noProof w:val="0"/>
          <w:sz w:val="24"/>
          <w:szCs w:val="24"/>
        </w:rPr>
        <w:t xml:space="preserve">-e </w:t>
      </w:r>
      <w:r w:rsidRPr="0025739C">
        <w:rPr>
          <w:noProof w:val="0"/>
          <w:sz w:val="24"/>
          <w:szCs w:val="24"/>
        </w:rPr>
        <w:tab/>
      </w:r>
      <w:r w:rsidRPr="00BB6334">
        <w:rPr>
          <w:noProof w:val="0"/>
          <w:sz w:val="24"/>
          <w:szCs w:val="24"/>
        </w:rPr>
        <w:t>R3-20</w:t>
      </w:r>
      <w:r w:rsidR="00266A84">
        <w:rPr>
          <w:noProof w:val="0"/>
          <w:sz w:val="24"/>
          <w:szCs w:val="24"/>
        </w:rPr>
        <w:t>5264</w:t>
      </w:r>
      <w:bookmarkStart w:id="1" w:name="_GoBack"/>
      <w:bookmarkEnd w:id="1"/>
    </w:p>
    <w:p w14:paraId="1BABDD6A" w14:textId="02F1648A" w:rsidR="00952130" w:rsidRPr="006C6B4A" w:rsidRDefault="000E3DB8" w:rsidP="00952130">
      <w:pPr>
        <w:pStyle w:val="Header"/>
        <w:tabs>
          <w:tab w:val="right" w:pos="9639"/>
        </w:tabs>
        <w:rPr>
          <w:rFonts w:cs="Malgun Gothic"/>
          <w:b w:val="0"/>
          <w:sz w:val="24"/>
          <w:szCs w:val="24"/>
        </w:rPr>
      </w:pPr>
      <w:r w:rsidRPr="000E3DB8">
        <w:rPr>
          <w:noProof w:val="0"/>
          <w:sz w:val="24"/>
          <w:szCs w:val="24"/>
        </w:rPr>
        <w:t>17-28 August 2020</w:t>
      </w:r>
      <w:r w:rsidR="00952130">
        <w:rPr>
          <w:noProof w:val="0"/>
          <w:sz w:val="24"/>
          <w:szCs w:val="24"/>
        </w:rPr>
        <w:t xml:space="preserve">, </w:t>
      </w:r>
      <w:r w:rsidR="00952130" w:rsidRPr="001831F6">
        <w:rPr>
          <w:noProof w:val="0"/>
          <w:sz w:val="24"/>
          <w:szCs w:val="24"/>
        </w:rPr>
        <w:t>Online</w:t>
      </w:r>
      <w:r w:rsidR="00952130"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73E8F2B5"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C39257E"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5FE59A5B" w:rsidR="007A7B60" w:rsidRDefault="007A7B60"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Rel-17 WID </w:t>
      </w:r>
      <w:r w:rsidR="001510AB">
        <w:rPr>
          <w:rFonts w:ascii="Times New Roman" w:eastAsia="宋体" w:hAnsi="Times New Roman"/>
          <w:lang w:eastAsia="en-US"/>
        </w:rPr>
        <w:t>NR_IAB_enh [</w:t>
      </w:r>
      <w:r w:rsidR="00846723">
        <w:rPr>
          <w:rFonts w:ascii="Times New Roman" w:eastAsia="宋体" w:hAnsi="Times New Roman"/>
          <w:lang w:eastAsia="en-US"/>
        </w:rPr>
        <w:t>1</w:t>
      </w:r>
      <w:r w:rsidR="001510AB">
        <w:rPr>
          <w:rFonts w:ascii="Times New Roman" w:eastAsia="宋体" w:hAnsi="Times New Roman"/>
          <w:lang w:eastAsia="en-US"/>
        </w:rPr>
        <w:t xml:space="preserve">] </w:t>
      </w:r>
      <w:r>
        <w:rPr>
          <w:rFonts w:ascii="Times New Roman" w:eastAsia="宋体" w:hAnsi="Times New Roman"/>
          <w:lang w:eastAsia="en-US"/>
        </w:rPr>
        <w:t>states</w:t>
      </w:r>
    </w:p>
    <w:p w14:paraId="2E7B4139" w14:textId="77777777" w:rsidR="007A7B60" w:rsidRDefault="007A7B60" w:rsidP="007A7B60">
      <w:pPr>
        <w:numPr>
          <w:ilvl w:val="0"/>
          <w:numId w:val="26"/>
        </w:numPr>
        <w:overflowPunct/>
        <w:autoSpaceDE/>
        <w:autoSpaceDN/>
        <w:adjustRightInd/>
        <w:spacing w:after="60"/>
        <w:jc w:val="left"/>
        <w:textAlignment w:val="auto"/>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4397A4B2" w14:textId="6A702F02"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 xml:space="preserve">contribution analyses the technical detail on inter-donor adaptation. </w:t>
      </w:r>
    </w:p>
    <w:p w14:paraId="169C0E12" w14:textId="6CBB29F7" w:rsidR="00E91E88" w:rsidRDefault="00E91E88" w:rsidP="00952130">
      <w:pPr>
        <w:pStyle w:val="Heading1"/>
      </w:pPr>
      <w:r>
        <w:t>Discussion</w:t>
      </w:r>
    </w:p>
    <w:p w14:paraId="6345E230" w14:textId="426AE693" w:rsidR="00E91E88" w:rsidRPr="00640EFB" w:rsidRDefault="007A7B60" w:rsidP="00640EFB">
      <w:pPr>
        <w:pStyle w:val="Heading2"/>
        <w:ind w:left="1134" w:hanging="1134"/>
        <w:rPr>
          <w:rFonts w:eastAsia="宋体"/>
          <w:lang w:eastAsia="en-US"/>
        </w:rPr>
      </w:pPr>
      <w:r w:rsidRPr="00640EFB">
        <w:rPr>
          <w:rFonts w:eastAsia="宋体"/>
          <w:lang w:eastAsia="en-US"/>
        </w:rPr>
        <w:t>2.1. inter-donor topology adaptation from SI</w:t>
      </w:r>
    </w:p>
    <w:p w14:paraId="7A51FDEA" w14:textId="1F039181" w:rsidR="00D06E79" w:rsidRPr="00E23CFA" w:rsidRDefault="00D06E79" w:rsidP="00CB1153">
      <w:r>
        <w:t>During the SI phase, one solution was captured in the TR38.874</w:t>
      </w:r>
      <w:r w:rsidR="001510AB">
        <w:t xml:space="preserve"> [1]</w:t>
      </w:r>
      <w:r w:rsidR="002E1050">
        <w:t xml:space="preserve"> (copied as below)</w:t>
      </w:r>
      <w:r>
        <w:t xml:space="preserve">. </w:t>
      </w:r>
    </w:p>
    <w:p w14:paraId="3686F856" w14:textId="229A229F" w:rsidR="00D06E79" w:rsidRPr="00E23CFA" w:rsidRDefault="00CB1153" w:rsidP="00D06E79">
      <w:pPr>
        <w:pStyle w:val="TH"/>
      </w:pPr>
      <w:r w:rsidRPr="00E23CFA">
        <w:object w:dxaOrig="27045" w:dyaOrig="24085" w14:anchorId="04F17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367.15pt" o:ole="">
            <v:imagedata r:id="rId13" o:title=""/>
          </v:shape>
          <o:OLEObject Type="Embed" ProgID="Visio.Drawing.11" ShapeID="_x0000_i1025" DrawAspect="Content" ObjectID="_1658302009" r:id="rId14"/>
        </w:object>
      </w:r>
    </w:p>
    <w:p w14:paraId="72F1DEAB" w14:textId="77777777" w:rsidR="00D06E79" w:rsidRPr="00E23CFA" w:rsidRDefault="00D06E79" w:rsidP="00D06E79">
      <w:pPr>
        <w:pStyle w:val="TF"/>
      </w:pPr>
      <w:r w:rsidRPr="00E23CFA">
        <w:t>Figure 9.7.6-2: Procedure for adaptation of ST topology as shown in Figure 9.7.6-1</w:t>
      </w:r>
    </w:p>
    <w:p w14:paraId="39956171" w14:textId="2BF74A95" w:rsidR="00F02895" w:rsidRDefault="00CB1153" w:rsidP="00CB1153">
      <w:r>
        <w:lastRenderedPageBreak/>
        <w:t xml:space="preserve">In this solution, the migrating IAB node (i.e. IAB-node 5 in </w:t>
      </w:r>
      <w:r w:rsidR="0009482C">
        <w:t>above</w:t>
      </w:r>
      <w:r>
        <w:t xml:space="preserve"> example) is handover from IAB-donor CU1 to IAB-donor CU2. </w:t>
      </w:r>
      <w:r w:rsidR="00DA1AC3">
        <w:t xml:space="preserve">The IAB-node 5 stops the DU operation (including over the air transmission) when the IAB-node 5 disconnect from source parent node, and resumes the DU operation (including over the air transmission) after the IAB-node 5 connect with IAB-donor CU2. For a UE connected with the IAB-node 5, it </w:t>
      </w:r>
      <w:r w:rsidR="00DA1AC3" w:rsidRPr="007E5C44">
        <w:t xml:space="preserve">see the old cell disappearing causing RLF and initiation of connection re-establishment attempt. </w:t>
      </w:r>
      <w:r w:rsidR="00DA1AC3">
        <w:t>After IAB-node 5 resume the DU operation, the UE should detect the appearing cell and preferably select that one for the re-establishment (assuming they stay within the coverage of migrating node).</w:t>
      </w:r>
    </w:p>
    <w:p w14:paraId="1A0D5DC4" w14:textId="79722310" w:rsidR="00B85B84" w:rsidRDefault="00B85B84" w:rsidP="00B85B84">
      <w:pPr>
        <w:rPr>
          <w:b/>
          <w:bCs/>
        </w:rPr>
      </w:pPr>
      <w:r w:rsidRPr="00D06E79">
        <w:rPr>
          <w:b/>
          <w:bCs/>
        </w:rPr>
        <w:t xml:space="preserve">Proposal </w:t>
      </w:r>
      <w:r>
        <w:rPr>
          <w:b/>
          <w:bCs/>
        </w:rPr>
        <w:t>1</w:t>
      </w:r>
      <w:r w:rsidRPr="00D06E79">
        <w:rPr>
          <w:b/>
          <w:bCs/>
        </w:rPr>
        <w:t xml:space="preserve">: the </w:t>
      </w:r>
      <w:r>
        <w:rPr>
          <w:b/>
          <w:bCs/>
        </w:rPr>
        <w:t xml:space="preserve">solution discussed in the SI </w:t>
      </w:r>
      <w:r w:rsidRPr="00D06E79">
        <w:rPr>
          <w:b/>
          <w:bCs/>
        </w:rPr>
        <w:t xml:space="preserve">can be the starting point for Rel-17. </w:t>
      </w:r>
    </w:p>
    <w:p w14:paraId="39ECCA65" w14:textId="7F2E82D9" w:rsidR="007B0FF7" w:rsidRPr="00640EFB" w:rsidRDefault="007B0FF7" w:rsidP="007B0FF7">
      <w:pPr>
        <w:pStyle w:val="Heading2"/>
        <w:ind w:left="1134" w:hanging="1134"/>
        <w:rPr>
          <w:rFonts w:eastAsia="宋体"/>
          <w:lang w:eastAsia="en-US"/>
        </w:rPr>
      </w:pPr>
      <w:r w:rsidRPr="00640EFB">
        <w:rPr>
          <w:rFonts w:eastAsia="宋体"/>
          <w:lang w:eastAsia="en-US"/>
        </w:rPr>
        <w:t>2.</w:t>
      </w:r>
      <w:r w:rsidR="00B0223E">
        <w:rPr>
          <w:rFonts w:eastAsia="宋体"/>
          <w:lang w:eastAsia="en-US"/>
        </w:rPr>
        <w:t>2</w:t>
      </w:r>
      <w:r w:rsidRPr="00640EFB">
        <w:rPr>
          <w:rFonts w:eastAsia="宋体"/>
          <w:lang w:eastAsia="en-US"/>
        </w:rPr>
        <w:t xml:space="preserve">. </w:t>
      </w:r>
      <w:r>
        <w:rPr>
          <w:rFonts w:eastAsia="宋体"/>
          <w:lang w:eastAsia="en-US"/>
        </w:rPr>
        <w:t>Handover preparation for the migrating IAB node</w:t>
      </w:r>
    </w:p>
    <w:p w14:paraId="7F02A352" w14:textId="250AD395" w:rsidR="00B01A6F" w:rsidRDefault="007B0FF7" w:rsidP="00CB1153">
      <w:r>
        <w:t>During the handover preparation procedure, t</w:t>
      </w:r>
      <w:r w:rsidR="00B216F9">
        <w:t>he BH RLC channel information, e.g. QoS information, need to be transferred to target Donor-CU during the handover preparation procedure.</w:t>
      </w:r>
      <w:r w:rsidR="008722F9">
        <w:t xml:space="preserve"> </w:t>
      </w:r>
      <w:r w:rsidR="00A661BB">
        <w:t xml:space="preserve">Source Donor CU also need to transfer the IP address related information, e.g. the IP address request information, to target Donor-CU. </w:t>
      </w:r>
      <w:r w:rsidR="00AD3F90">
        <w:t>Accordingly, t</w:t>
      </w:r>
      <w:r w:rsidR="008722F9">
        <w:t>arget Donor-CU assign the new BAP address, and IP address</w:t>
      </w:r>
      <w:r w:rsidR="00AD3F90">
        <w:t xml:space="preserve"> to the migrating IAB node, which may be included in the RRC container.</w:t>
      </w:r>
      <w:r w:rsidR="000956ED">
        <w:t xml:space="preserve"> This also applies to the descendant IAB node of the migrating IAB node. </w:t>
      </w:r>
      <w:r w:rsidR="00AD3F90">
        <w:t xml:space="preserve"> </w:t>
      </w:r>
      <w:r w:rsidR="008722F9">
        <w:t xml:space="preserve"> </w:t>
      </w:r>
      <w:r w:rsidR="00B216F9">
        <w:t xml:space="preserve"> </w:t>
      </w:r>
    </w:p>
    <w:p w14:paraId="7B6AEFFC" w14:textId="7208816F" w:rsidR="00B01A6F" w:rsidRDefault="00B01A6F" w:rsidP="00CB1153">
      <w:pPr>
        <w:rPr>
          <w:b/>
          <w:bCs/>
        </w:rPr>
      </w:pPr>
      <w:r>
        <w:rPr>
          <w:b/>
          <w:bCs/>
        </w:rPr>
        <w:t xml:space="preserve">Observation 1: </w:t>
      </w:r>
      <w:r w:rsidR="00F47DD5">
        <w:rPr>
          <w:b/>
          <w:bCs/>
        </w:rPr>
        <w:t xml:space="preserve">Xn interface need to be enhanced, e.g. </w:t>
      </w:r>
      <w:r>
        <w:rPr>
          <w:b/>
          <w:bCs/>
        </w:rPr>
        <w:t>the BH RLC channel information need to be transferred to target Donor-CU when the Source Donor-CU initiate the handover preparation for the migrating IAB node</w:t>
      </w:r>
      <w:r w:rsidR="00BC3DBE">
        <w:rPr>
          <w:b/>
          <w:bCs/>
        </w:rPr>
        <w:t xml:space="preserve"> and descendant IAB node</w:t>
      </w:r>
      <w:r>
        <w:rPr>
          <w:b/>
          <w:bCs/>
        </w:rPr>
        <w:t>.</w:t>
      </w:r>
    </w:p>
    <w:p w14:paraId="0CDB8BF4" w14:textId="6734C390" w:rsidR="00B70470" w:rsidRDefault="00B70470" w:rsidP="00CB1153">
      <w:pPr>
        <w:rPr>
          <w:b/>
          <w:bCs/>
        </w:rPr>
      </w:pPr>
      <w:r w:rsidRPr="00B70470">
        <w:rPr>
          <w:b/>
          <w:bCs/>
        </w:rPr>
        <w:t xml:space="preserve">Proposal </w:t>
      </w:r>
      <w:r w:rsidR="00B0223E">
        <w:rPr>
          <w:b/>
          <w:bCs/>
        </w:rPr>
        <w:t>2</w:t>
      </w:r>
      <w:r>
        <w:rPr>
          <w:b/>
          <w:bCs/>
        </w:rPr>
        <w:t xml:space="preserve">: RAN3 study the impact to Xn interface to support handover the migrating IAB node </w:t>
      </w:r>
      <w:r w:rsidR="007D39B5">
        <w:rPr>
          <w:b/>
          <w:bCs/>
        </w:rPr>
        <w:t xml:space="preserve">and descendant IAB </w:t>
      </w:r>
      <w:r>
        <w:rPr>
          <w:b/>
          <w:bCs/>
        </w:rPr>
        <w:t xml:space="preserve">from Source Donor to Target Donor. </w:t>
      </w:r>
    </w:p>
    <w:p w14:paraId="7061DFE1" w14:textId="5B105D8B" w:rsidR="00B0223E" w:rsidRDefault="00B0223E" w:rsidP="00CB1153">
      <w:pPr>
        <w:rPr>
          <w:b/>
          <w:bCs/>
        </w:rPr>
      </w:pPr>
    </w:p>
    <w:p w14:paraId="7DF386B1" w14:textId="28FCB62F" w:rsidR="00B0223E" w:rsidRPr="00640EFB" w:rsidRDefault="00B0223E" w:rsidP="00B0223E">
      <w:pPr>
        <w:pStyle w:val="Heading2"/>
        <w:ind w:left="1134" w:hanging="1134"/>
        <w:rPr>
          <w:rFonts w:eastAsia="宋体"/>
          <w:lang w:eastAsia="en-US"/>
        </w:rPr>
      </w:pPr>
      <w:r w:rsidRPr="00640EFB">
        <w:rPr>
          <w:rFonts w:eastAsia="宋体"/>
          <w:lang w:eastAsia="en-US"/>
        </w:rPr>
        <w:t>2.</w:t>
      </w:r>
      <w:r>
        <w:rPr>
          <w:rFonts w:eastAsia="宋体"/>
          <w:lang w:eastAsia="en-US"/>
        </w:rPr>
        <w:t>3</w:t>
      </w:r>
      <w:r w:rsidRPr="00640EFB">
        <w:rPr>
          <w:rFonts w:eastAsia="宋体"/>
          <w:lang w:eastAsia="en-US"/>
        </w:rPr>
        <w:t xml:space="preserve">. </w:t>
      </w:r>
      <w:r>
        <w:rPr>
          <w:rFonts w:eastAsia="宋体"/>
          <w:lang w:eastAsia="en-US"/>
        </w:rPr>
        <w:t xml:space="preserve">Handover preparation for the </w:t>
      </w:r>
      <w:r w:rsidR="00ED279B">
        <w:rPr>
          <w:rFonts w:eastAsia="宋体"/>
          <w:lang w:eastAsia="en-US"/>
        </w:rPr>
        <w:t xml:space="preserve">UE connected to the </w:t>
      </w:r>
      <w:r>
        <w:rPr>
          <w:rFonts w:eastAsia="宋体"/>
          <w:lang w:eastAsia="en-US"/>
        </w:rPr>
        <w:t>migrating IAB node</w:t>
      </w:r>
    </w:p>
    <w:p w14:paraId="0E2EE7E9" w14:textId="20F48D6E" w:rsidR="00CB1153" w:rsidRDefault="00D842CA" w:rsidP="00CB1153">
      <w:r>
        <w:t xml:space="preserve">As discussed above, </w:t>
      </w:r>
      <w:r w:rsidR="00CB1153">
        <w:t>a UE connected with the IAB-node 5</w:t>
      </w:r>
      <w:r>
        <w:t xml:space="preserve"> </w:t>
      </w:r>
      <w:r w:rsidR="00CB1153" w:rsidRPr="007E5C44">
        <w:t xml:space="preserve">see the old cell disappearing causing RLF and initiation of connection re-establishment attempt. </w:t>
      </w:r>
      <w:r w:rsidR="00CB1153">
        <w:t>After IAB-node 5 resume the DU operation, the UE should detect the appearing cell and preferably select that one for the re-establishment (assuming they stay within the coverage of migrating node). There will be therefore delays first to detect RLF (depends on the filtering of RLM measurements) and then to detect the new appearing cell.</w:t>
      </w:r>
    </w:p>
    <w:p w14:paraId="28EB3F0A" w14:textId="630474B5" w:rsidR="00CB1153" w:rsidRPr="00E23CFA" w:rsidRDefault="00C671C8" w:rsidP="00CB1153">
      <w:r>
        <w:t>When the migrating IAB node has the descendant IAB node, t</w:t>
      </w:r>
      <w:r w:rsidR="00CB1153" w:rsidRPr="00E23CFA">
        <w:t xml:space="preserve">he inter-CU topology adaptation procedure described </w:t>
      </w:r>
      <w:r w:rsidR="0073085A">
        <w:t xml:space="preserve">above </w:t>
      </w:r>
      <w:r w:rsidR="00CB1153" w:rsidRPr="00E23CFA">
        <w:t>may cause multiple subsequent RLFs for descendant IAB-nodes and UEs of the migrating IAB-node. This may cause long service interruption for the UEs</w:t>
      </w:r>
      <w:r w:rsidR="00A13263">
        <w:t>, especially for the UEs connected with the leaf descendant IAB node of the migrating IAB node</w:t>
      </w:r>
      <w:r w:rsidR="00CB1153" w:rsidRPr="00E23CFA">
        <w:t>. Further enhancement is needed to reduce this service interruption.</w:t>
      </w:r>
    </w:p>
    <w:p w14:paraId="69467D8D" w14:textId="77777777" w:rsidR="004A61A7" w:rsidRDefault="004A61A7" w:rsidP="004A61A7">
      <w:r w:rsidRPr="0019128F">
        <w:rPr>
          <w:b/>
          <w:bCs/>
        </w:rPr>
        <w:t>Observation</w:t>
      </w:r>
      <w:r>
        <w:rPr>
          <w:b/>
          <w:bCs/>
        </w:rPr>
        <w:t xml:space="preserve"> 2</w:t>
      </w:r>
      <w:r w:rsidRPr="0019128F">
        <w:rPr>
          <w:b/>
          <w:bCs/>
        </w:rPr>
        <w:t>: UEs served by the migrating IAB-node</w:t>
      </w:r>
      <w:r>
        <w:rPr>
          <w:b/>
          <w:bCs/>
        </w:rPr>
        <w:t xml:space="preserve"> and descendant IAB node</w:t>
      </w:r>
      <w:r w:rsidRPr="0019128F">
        <w:rPr>
          <w:b/>
          <w:bCs/>
        </w:rPr>
        <w:t xml:space="preserve"> experience connection break due to delay in detecting RLF in the source cell and delay detecting the new cell.</w:t>
      </w:r>
    </w:p>
    <w:p w14:paraId="6169C3B9" w14:textId="060B972D" w:rsidR="004B6F96" w:rsidRDefault="004B6F96" w:rsidP="004B6F96">
      <w:r>
        <w:t>To alleviate the negative impact due to such issue</w:t>
      </w:r>
      <w:r w:rsidR="00EB53CA">
        <w:t xml:space="preserve"> (e.g. reduce the interruption)</w:t>
      </w:r>
      <w:r>
        <w:t>, it would be better to have network control over the UE behaviour so that they could be directed to the new cell to be served by the same IAB-node which they were connected to. A basic option for the network control would be to use HO signalling also for the UEs so that they would not connect to other cells (presumably non-optimum from coverage point of view) during the IAB-node migration.</w:t>
      </w:r>
    </w:p>
    <w:p w14:paraId="3186688C" w14:textId="276523B7" w:rsidR="004B6F96" w:rsidRPr="00EE0992" w:rsidRDefault="004B6F96" w:rsidP="004B6F96">
      <w:pPr>
        <w:rPr>
          <w:b/>
          <w:bCs/>
        </w:rPr>
      </w:pPr>
      <w:r w:rsidRPr="00EE0992">
        <w:rPr>
          <w:b/>
          <w:bCs/>
        </w:rPr>
        <w:t>Observation</w:t>
      </w:r>
      <w:r>
        <w:rPr>
          <w:b/>
          <w:bCs/>
        </w:rPr>
        <w:t xml:space="preserve"> </w:t>
      </w:r>
      <w:r w:rsidR="00AE3B98">
        <w:rPr>
          <w:b/>
          <w:bCs/>
        </w:rPr>
        <w:t>3</w:t>
      </w:r>
      <w:r w:rsidRPr="00EE0992">
        <w:rPr>
          <w:b/>
          <w:bCs/>
        </w:rPr>
        <w:t>: To have network control over the UE behaviour during the IAB-node migration, RLF/re-selection could be replaced with HO signalling to direct the cell selection to the cell served by the same IAB-node after the migration.</w:t>
      </w:r>
    </w:p>
    <w:p w14:paraId="206BBD0A" w14:textId="77777777" w:rsidR="007E48E6" w:rsidRDefault="007E48E6" w:rsidP="007E48E6">
      <w:pPr>
        <w:rPr>
          <w:b/>
          <w:bCs/>
        </w:rPr>
      </w:pPr>
    </w:p>
    <w:p w14:paraId="32AE88A4" w14:textId="5B37A0D4" w:rsidR="007E48E6" w:rsidRPr="00D06E79" w:rsidRDefault="007E48E6" w:rsidP="007E48E6">
      <w:pPr>
        <w:rPr>
          <w:b/>
          <w:bCs/>
        </w:rPr>
      </w:pPr>
      <w:r>
        <w:rPr>
          <w:b/>
          <w:bCs/>
        </w:rPr>
        <w:t xml:space="preserve">Proposal </w:t>
      </w:r>
      <w:r w:rsidR="007F3374">
        <w:rPr>
          <w:b/>
          <w:bCs/>
        </w:rPr>
        <w:t>3</w:t>
      </w:r>
      <w:r>
        <w:rPr>
          <w:b/>
          <w:bCs/>
        </w:rPr>
        <w:t xml:space="preserve">: </w:t>
      </w:r>
      <w:r w:rsidR="00D53214">
        <w:rPr>
          <w:b/>
          <w:bCs/>
        </w:rPr>
        <w:t xml:space="preserve">To reduce the interruption, </w:t>
      </w:r>
      <w:r>
        <w:rPr>
          <w:b/>
          <w:bCs/>
        </w:rPr>
        <w:t xml:space="preserve">RAN3 </w:t>
      </w:r>
      <w:r w:rsidR="00082E89">
        <w:rPr>
          <w:b/>
          <w:bCs/>
        </w:rPr>
        <w:t>develop</w:t>
      </w:r>
      <w:r w:rsidR="004D1A8C">
        <w:rPr>
          <w:b/>
          <w:bCs/>
        </w:rPr>
        <w:t xml:space="preserve"> the solution to</w:t>
      </w:r>
      <w:r>
        <w:rPr>
          <w:b/>
          <w:bCs/>
        </w:rPr>
        <w:t xml:space="preserve"> use handover procedure for the UE(s) and descendant IAB node(s) connected to the migrating IAB node, during the inter-Donor Topology Adaptation. </w:t>
      </w:r>
    </w:p>
    <w:p w14:paraId="3E56CB5D" w14:textId="77777777" w:rsidR="00014CC2" w:rsidRDefault="00014CC2" w:rsidP="00014CC2"/>
    <w:p w14:paraId="3D56A69E" w14:textId="106CF099" w:rsidR="00014CC2" w:rsidRDefault="00014CC2" w:rsidP="00014CC2">
      <w:r>
        <w:t>In order to enable handover for the UE, following issues need to be studied:</w:t>
      </w:r>
    </w:p>
    <w:p w14:paraId="4042CA73" w14:textId="14DA5271" w:rsidR="00014CC2" w:rsidRDefault="00457976" w:rsidP="00014CC2">
      <w:pPr>
        <w:pStyle w:val="ListParagraph"/>
        <w:numPr>
          <w:ilvl w:val="0"/>
          <w:numId w:val="26"/>
        </w:numPr>
      </w:pPr>
      <w:r>
        <w:t xml:space="preserve">How and </w:t>
      </w:r>
      <w:r w:rsidR="00014CC2">
        <w:t>When does the gNB-DU in the migrating IAB node setup F1 interface with target Donor-CU?</w:t>
      </w:r>
    </w:p>
    <w:p w14:paraId="3A0CFCFD" w14:textId="28EA6C2E" w:rsidR="00A378C3" w:rsidRDefault="00E70CF1" w:rsidP="00014CC2">
      <w:pPr>
        <w:pStyle w:val="ListParagraph"/>
      </w:pPr>
      <w:r>
        <w:lastRenderedPageBreak/>
        <w:t>In current inter-</w:t>
      </w:r>
      <w:r w:rsidR="009528F9">
        <w:t>C</w:t>
      </w:r>
      <w:r>
        <w:t xml:space="preserve">U mobility, </w:t>
      </w:r>
      <w:r w:rsidR="009528F9">
        <w:t>target CU initiate the F1AP UE Context Setup procedure towards the target DU</w:t>
      </w:r>
      <w:r w:rsidR="00A378C3">
        <w:t xml:space="preserve"> to setup the UE context. In this case, the target DU is actually </w:t>
      </w:r>
      <w:r w:rsidR="00A65D66">
        <w:t xml:space="preserve">hosted </w:t>
      </w:r>
      <w:r w:rsidR="00A378C3">
        <w:t>in the same IAB node (</w:t>
      </w:r>
      <w:r w:rsidR="00D12AF1">
        <w:t>e.g.</w:t>
      </w:r>
      <w:r w:rsidR="00A378C3">
        <w:t xml:space="preserve"> the same IAB</w:t>
      </w:r>
      <w:r w:rsidR="00D12AF1">
        <w:t>-</w:t>
      </w:r>
      <w:r w:rsidR="00A378C3">
        <w:t>node</w:t>
      </w:r>
      <w:r w:rsidR="00D12AF1">
        <w:t xml:space="preserve"> 5</w:t>
      </w:r>
      <w:r w:rsidR="00A378C3">
        <w:t xml:space="preserve"> before the inter-Donor topology adaptation, and after the inter-Donor topology adaptation). </w:t>
      </w:r>
      <w:r w:rsidR="00FB773D">
        <w:t>This requires the F1 interface to be setup between the DU in the IAB-node 5 and Target Donor-CU</w:t>
      </w:r>
      <w:r w:rsidR="00760BCF">
        <w:t xml:space="preserve">, while the IAB-node 5 is still in communication with the Source Donor-CU. </w:t>
      </w:r>
      <w:r w:rsidR="00B82789">
        <w:t xml:space="preserve">Since </w:t>
      </w:r>
      <w:r w:rsidR="00550C90" w:rsidRPr="00550C90">
        <w:t>One gNB-DU is connected to only one gNB-CU</w:t>
      </w:r>
      <w:r w:rsidR="00550C90">
        <w:t xml:space="preserve">, </w:t>
      </w:r>
      <w:r w:rsidR="007B1925">
        <w:t xml:space="preserve">it </w:t>
      </w:r>
      <w:r w:rsidR="00A461C9">
        <w:t>needs further study on</w:t>
      </w:r>
      <w:r w:rsidR="007B1925">
        <w:t xml:space="preserve"> how </w:t>
      </w:r>
      <w:r w:rsidR="00A95C1F">
        <w:t xml:space="preserve">and when </w:t>
      </w:r>
      <w:r w:rsidR="007B1925">
        <w:t xml:space="preserve">the DU in the IAB-node 5 setup the F1 interface with </w:t>
      </w:r>
      <w:r w:rsidR="00457976">
        <w:t xml:space="preserve">both </w:t>
      </w:r>
      <w:r w:rsidR="007B1925">
        <w:t>Source Donor-CU and t</w:t>
      </w:r>
      <w:r w:rsidR="00457976">
        <w:t xml:space="preserve">arget Donor-CU. </w:t>
      </w:r>
    </w:p>
    <w:p w14:paraId="28E2ECC4" w14:textId="218665AB" w:rsidR="00A65D66" w:rsidRDefault="00A65D66" w:rsidP="00014CC2">
      <w:pPr>
        <w:pStyle w:val="ListParagraph"/>
      </w:pPr>
    </w:p>
    <w:p w14:paraId="3E66DC63" w14:textId="31481004" w:rsidR="00676079" w:rsidRDefault="00F152E5" w:rsidP="00014CC2">
      <w:pPr>
        <w:pStyle w:val="ListParagraph"/>
        <w:numPr>
          <w:ilvl w:val="0"/>
          <w:numId w:val="26"/>
        </w:numPr>
      </w:pPr>
      <w:r>
        <w:t xml:space="preserve">Target cell </w:t>
      </w:r>
      <w:r w:rsidR="00A97559">
        <w:t xml:space="preserve">for </w:t>
      </w:r>
      <w:r w:rsidR="00936DED">
        <w:t xml:space="preserve">the UE </w:t>
      </w:r>
    </w:p>
    <w:p w14:paraId="00D437D1" w14:textId="439A0213" w:rsidR="00441BE2" w:rsidRDefault="00676079" w:rsidP="00676079">
      <w:pPr>
        <w:pStyle w:val="ListParagraph"/>
      </w:pPr>
      <w:r>
        <w:t xml:space="preserve">The handover preparation procedure for the UE </w:t>
      </w:r>
      <w:r w:rsidR="00441BE2">
        <w:t xml:space="preserve">is </w:t>
      </w:r>
      <w:r>
        <w:t xml:space="preserve">initiated </w:t>
      </w:r>
      <w:r w:rsidR="003B7FD1">
        <w:t xml:space="preserve">when the IAB-node 5 still connect with the Source Donor-CU, which means the “target” cell </w:t>
      </w:r>
      <w:r w:rsidR="00A47CBF">
        <w:t xml:space="preserve">in IAB-node 5 </w:t>
      </w:r>
      <w:r w:rsidR="003B7FD1">
        <w:t xml:space="preserve">is not </w:t>
      </w:r>
      <w:r w:rsidR="00441BE2">
        <w:t xml:space="preserve">operation yet (i.e. no over the air transmission). </w:t>
      </w:r>
      <w:r w:rsidR="00CC134D">
        <w:t>So the</w:t>
      </w:r>
      <w:r w:rsidR="0010616B">
        <w:t xml:space="preserve"> Source Donor-CU cannot use the measurement report from the UE, e.g. to determine the target cell. </w:t>
      </w:r>
      <w:r w:rsidR="00442425">
        <w:t xml:space="preserve">After the inter-Donor topology adaptation, the UE is </w:t>
      </w:r>
      <w:r w:rsidR="005A113D">
        <w:t>very likely still connect with the “same” physical cell, even the cell may use a different PCI/NCI</w:t>
      </w:r>
      <w:r w:rsidR="007F2617">
        <w:t xml:space="preserve">. </w:t>
      </w:r>
      <w:r w:rsidR="008E5253">
        <w:t xml:space="preserve">It </w:t>
      </w:r>
      <w:r w:rsidR="00B62944">
        <w:t>needs further study on</w:t>
      </w:r>
      <w:r w:rsidR="008E5253">
        <w:t xml:space="preserve"> how the Source Donor-CU </w:t>
      </w:r>
      <w:r w:rsidR="007A5FF6">
        <w:t xml:space="preserve">and target Donor-CU </w:t>
      </w:r>
      <w:r w:rsidR="008E5253">
        <w:t>know the target cell for the UE</w:t>
      </w:r>
      <w:r w:rsidR="007A5FF6">
        <w:t xml:space="preserve">. </w:t>
      </w:r>
    </w:p>
    <w:p w14:paraId="60B5EE35" w14:textId="77777777" w:rsidR="00441BE2" w:rsidRDefault="00441BE2" w:rsidP="00676079">
      <w:pPr>
        <w:pStyle w:val="ListParagraph"/>
      </w:pPr>
    </w:p>
    <w:p w14:paraId="33A54156" w14:textId="592AF042" w:rsidR="007836D9" w:rsidRDefault="00FD2562" w:rsidP="007836D9">
      <w:pPr>
        <w:pStyle w:val="ListParagraph"/>
        <w:numPr>
          <w:ilvl w:val="0"/>
          <w:numId w:val="26"/>
        </w:numPr>
      </w:pPr>
      <w:r>
        <w:t>MAC reset and RLC re-establishment</w:t>
      </w:r>
    </w:p>
    <w:p w14:paraId="63FE4166" w14:textId="2C8F0A71" w:rsidR="007836D9" w:rsidRDefault="007836D9" w:rsidP="007836D9">
      <w:pPr>
        <w:pStyle w:val="ListParagraph"/>
      </w:pPr>
      <w:r w:rsidRPr="007836D9">
        <w:t xml:space="preserve">Current HO procedure includes MAC reset and RLC re-establishment during the HO execution. Similarly to certain bearer-type-change cases in MR-DC (see TS 37.340 Annex A), for UEs connected to the migrating node, this would be basically an unnecessary operation as MAC and RLC would be re-established to the same node over the same radio link. </w:t>
      </w:r>
      <w:r w:rsidR="00C97BF6">
        <w:t xml:space="preserve">This may be up to RAN2 to determine the possible optimization. The impact to RAN3 may be further studied based on RAN2 conclusion. </w:t>
      </w:r>
      <w:r w:rsidRPr="007836D9">
        <w:t xml:space="preserve"> </w:t>
      </w:r>
    </w:p>
    <w:p w14:paraId="5014EF77" w14:textId="77777777" w:rsidR="002D7052" w:rsidRPr="007836D9" w:rsidRDefault="002D7052" w:rsidP="007836D9">
      <w:pPr>
        <w:pStyle w:val="ListParagraph"/>
      </w:pPr>
    </w:p>
    <w:p w14:paraId="382F6D27" w14:textId="1C9D490D" w:rsidR="007836D9" w:rsidRDefault="00F01BDF" w:rsidP="007836D9">
      <w:pPr>
        <w:pStyle w:val="ListParagraph"/>
        <w:numPr>
          <w:ilvl w:val="0"/>
          <w:numId w:val="26"/>
        </w:numPr>
      </w:pPr>
      <w:r>
        <w:t xml:space="preserve">Advance </w:t>
      </w:r>
      <w:r w:rsidR="00E51480">
        <w:t>configuration of target path</w:t>
      </w:r>
    </w:p>
    <w:p w14:paraId="316CE75D" w14:textId="1229E2CD" w:rsidR="005F59D5" w:rsidRDefault="00BD034D" w:rsidP="00E51480">
      <w:pPr>
        <w:pStyle w:val="ListParagraph"/>
      </w:pPr>
      <w:r w:rsidRPr="00BD034D">
        <w:t>The mobility procedure in a multi-hop scenario will require re-configuration of, not only the migrating node and the donor nodes, but also each intermediate node on the affected paths. This causes large signalling overhead and latencies and extended break in the backhaul connection and service interruption for the UEs. Referring to steps A and C in Fig.1, the target CU has to configure the routing and channel mapping for the target path</w:t>
      </w:r>
      <w:r w:rsidR="0054410E">
        <w:t xml:space="preserve"> in advance</w:t>
      </w:r>
      <w:r w:rsidRPr="00BD034D">
        <w:t xml:space="preserve">, and the source CU eventually has to release the source path configurations. </w:t>
      </w:r>
      <w:r w:rsidR="00EC75DD">
        <w:t xml:space="preserve">The </w:t>
      </w:r>
      <w:r w:rsidR="00A449B7">
        <w:t xml:space="preserve">advance </w:t>
      </w:r>
      <w:r w:rsidRPr="00BD034D">
        <w:t xml:space="preserve">configuration of the target path (incl. intermediate nodes) would shorten the service interruption. </w:t>
      </w:r>
      <w:r w:rsidR="006A2FA2">
        <w:t xml:space="preserve">When the migrating IAB node has descendant IAB node, the advance configuration also includes the preconfigure in the descendant IAB nodes. </w:t>
      </w:r>
    </w:p>
    <w:p w14:paraId="7CCD83C4" w14:textId="77777777" w:rsidR="005F59D5" w:rsidRDefault="005F59D5" w:rsidP="00E51480">
      <w:pPr>
        <w:pStyle w:val="ListParagraph"/>
      </w:pPr>
    </w:p>
    <w:p w14:paraId="11D789CE" w14:textId="2F8CAF08" w:rsidR="00BB6240" w:rsidRPr="00D06E79" w:rsidRDefault="00BB6240" w:rsidP="00BB6240">
      <w:pPr>
        <w:rPr>
          <w:b/>
          <w:bCs/>
        </w:rPr>
      </w:pPr>
      <w:r>
        <w:rPr>
          <w:b/>
          <w:bCs/>
        </w:rPr>
        <w:t xml:space="preserve">Proposal </w:t>
      </w:r>
      <w:r w:rsidR="006A2FA2">
        <w:rPr>
          <w:b/>
          <w:bCs/>
        </w:rPr>
        <w:t>4</w:t>
      </w:r>
      <w:r>
        <w:rPr>
          <w:b/>
          <w:bCs/>
        </w:rPr>
        <w:t xml:space="preserve">: RAN3 </w:t>
      </w:r>
      <w:r w:rsidR="006A2FA2">
        <w:rPr>
          <w:b/>
          <w:bCs/>
        </w:rPr>
        <w:t>consider above issues when study the solution for inter-Donor Topology Adaptation</w:t>
      </w:r>
      <w:r>
        <w:rPr>
          <w:b/>
          <w:bCs/>
        </w:rPr>
        <w:t xml:space="preserve">. </w:t>
      </w:r>
    </w:p>
    <w:p w14:paraId="0391CA60" w14:textId="77777777" w:rsidR="00B6560D" w:rsidRPr="00E91E88" w:rsidRDefault="00B6560D" w:rsidP="00E91E88"/>
    <w:p w14:paraId="6F5F9477" w14:textId="40CF9995" w:rsidR="004F4756" w:rsidRDefault="004F4756" w:rsidP="00952130">
      <w:pPr>
        <w:pStyle w:val="Heading1"/>
      </w:pPr>
      <w:r>
        <w:t>Conclusion</w:t>
      </w:r>
    </w:p>
    <w:p w14:paraId="6AF48151" w14:textId="099DEBCF" w:rsidR="004F4756" w:rsidRDefault="004F4756" w:rsidP="004F4756">
      <w:r>
        <w:t xml:space="preserve">In this contribution, we have analysed how to perform the inter-Donor topology adaptation. Our proposal is: </w:t>
      </w:r>
    </w:p>
    <w:p w14:paraId="36CD0740" w14:textId="77777777" w:rsidR="004C29DC" w:rsidRPr="004C29DC" w:rsidRDefault="004C29DC" w:rsidP="004C29DC">
      <w:pPr>
        <w:rPr>
          <w:b/>
          <w:bCs/>
        </w:rPr>
      </w:pPr>
      <w:r w:rsidRPr="004C29DC">
        <w:rPr>
          <w:b/>
          <w:bCs/>
        </w:rPr>
        <w:t xml:space="preserve">Proposal 1: the solution discussed in the SI can be the starting point for Rel-17. </w:t>
      </w:r>
    </w:p>
    <w:p w14:paraId="729BF74A" w14:textId="77777777" w:rsidR="004C29DC" w:rsidRPr="004C29DC" w:rsidRDefault="004C29DC" w:rsidP="004C29DC">
      <w:pPr>
        <w:rPr>
          <w:b/>
          <w:bCs/>
        </w:rPr>
      </w:pPr>
    </w:p>
    <w:p w14:paraId="646AD84D" w14:textId="77777777" w:rsidR="004C29DC" w:rsidRPr="004C29DC" w:rsidRDefault="004C29DC" w:rsidP="004C29DC">
      <w:pPr>
        <w:rPr>
          <w:b/>
          <w:bCs/>
        </w:rPr>
      </w:pPr>
      <w:r w:rsidRPr="004C29DC">
        <w:rPr>
          <w:b/>
          <w:bCs/>
        </w:rPr>
        <w:t>Observation 1: Xn interface need to be enhanced, e.g. the BH RLC channel information need to be transferred to target Donor-CU when the Source Donor-CU initiate the handover preparation for the migrating IAB node and descendant IAB node.</w:t>
      </w:r>
    </w:p>
    <w:p w14:paraId="3938FA41" w14:textId="77777777" w:rsidR="004C29DC" w:rsidRDefault="004C29DC" w:rsidP="004C29DC">
      <w:pPr>
        <w:rPr>
          <w:b/>
          <w:bCs/>
        </w:rPr>
      </w:pPr>
    </w:p>
    <w:p w14:paraId="71F8FD14" w14:textId="32D53AAE" w:rsidR="004C29DC" w:rsidRPr="004C29DC" w:rsidRDefault="004C29DC" w:rsidP="004C29DC">
      <w:pPr>
        <w:rPr>
          <w:b/>
          <w:bCs/>
        </w:rPr>
      </w:pPr>
      <w:r w:rsidRPr="004C29DC">
        <w:rPr>
          <w:b/>
          <w:bCs/>
        </w:rPr>
        <w:t xml:space="preserve">Proposal 2: RAN3 study the impact to Xn interface to support handover the migrating IAB node and descendant IAB from Source Donor to Target Donor. </w:t>
      </w:r>
    </w:p>
    <w:p w14:paraId="51F9EE14" w14:textId="77777777" w:rsidR="004C29DC" w:rsidRDefault="004C29DC" w:rsidP="004C29DC">
      <w:pPr>
        <w:rPr>
          <w:b/>
          <w:bCs/>
        </w:rPr>
      </w:pPr>
    </w:p>
    <w:p w14:paraId="2094E082" w14:textId="59E56FAC" w:rsidR="004C29DC" w:rsidRPr="004C29DC" w:rsidRDefault="004C29DC" w:rsidP="004C29DC">
      <w:pPr>
        <w:rPr>
          <w:b/>
          <w:bCs/>
        </w:rPr>
      </w:pPr>
      <w:r w:rsidRPr="004C29DC">
        <w:rPr>
          <w:b/>
          <w:bCs/>
        </w:rPr>
        <w:t>Observation 2: UEs served by the migrating IAB-node and descendant IAB node experience connection break due to delay in detecting RLF in the source cell and delay detecting the new cell.</w:t>
      </w:r>
    </w:p>
    <w:p w14:paraId="5FC74952" w14:textId="7C2F51E0" w:rsidR="004C29DC" w:rsidRPr="004C29DC" w:rsidRDefault="004C29DC" w:rsidP="004C29DC">
      <w:pPr>
        <w:rPr>
          <w:b/>
          <w:bCs/>
        </w:rPr>
      </w:pPr>
      <w:r w:rsidRPr="004C29DC">
        <w:rPr>
          <w:b/>
          <w:bCs/>
        </w:rPr>
        <w:t>Observation 3: To have network control over the UE behaviour during the IAB-node migration, RLF/re-selection could be replaced with HO signalling to direct the cell selection to the cell served by the same IAB-node after the migration.</w:t>
      </w:r>
    </w:p>
    <w:p w14:paraId="2CAE00BE" w14:textId="77777777" w:rsidR="004C29DC" w:rsidRDefault="004C29DC" w:rsidP="004C29DC">
      <w:pPr>
        <w:rPr>
          <w:b/>
          <w:bCs/>
        </w:rPr>
      </w:pPr>
    </w:p>
    <w:p w14:paraId="7DCCAC81" w14:textId="682D4B48" w:rsidR="004C29DC" w:rsidRPr="004C29DC" w:rsidRDefault="004C29DC" w:rsidP="004C29DC">
      <w:pPr>
        <w:rPr>
          <w:b/>
          <w:bCs/>
        </w:rPr>
      </w:pPr>
      <w:r w:rsidRPr="004C29DC">
        <w:rPr>
          <w:b/>
          <w:bCs/>
        </w:rPr>
        <w:lastRenderedPageBreak/>
        <w:t xml:space="preserve">Proposal 3: To reduce the interruption, RAN3 develop the solution to use handover procedure for the UE(s) and descendant IAB node(s) connected to the migrating IAB node, during the inter-Donor Topology Adaptation. </w:t>
      </w:r>
    </w:p>
    <w:p w14:paraId="256540AF" w14:textId="77777777" w:rsidR="004C29DC" w:rsidRDefault="004C29DC" w:rsidP="004C29DC">
      <w:pPr>
        <w:rPr>
          <w:b/>
          <w:bCs/>
        </w:rPr>
      </w:pPr>
    </w:p>
    <w:p w14:paraId="6975FD10" w14:textId="2A5F4EF8" w:rsidR="004F4756" w:rsidRDefault="004C29DC" w:rsidP="004C29DC">
      <w:pPr>
        <w:rPr>
          <w:b/>
          <w:bCs/>
        </w:rPr>
      </w:pPr>
      <w:r w:rsidRPr="004C29DC">
        <w:rPr>
          <w:b/>
          <w:bCs/>
        </w:rPr>
        <w:t>Proposal 4: RAN3 consider above issues when study the solution for inter-Donor Topology Adaptation.</w:t>
      </w:r>
    </w:p>
    <w:p w14:paraId="7B954A45" w14:textId="77777777" w:rsidR="004C29DC" w:rsidRPr="004F4756" w:rsidRDefault="004C29DC" w:rsidP="004C29DC"/>
    <w:p w14:paraId="05E4427C" w14:textId="17FA10B4" w:rsidR="00952130" w:rsidRDefault="00952130" w:rsidP="00952130">
      <w:pPr>
        <w:pStyle w:val="Heading1"/>
      </w:pPr>
      <w:r>
        <w:t>References</w:t>
      </w:r>
    </w:p>
    <w:p w14:paraId="59C114C1" w14:textId="1F6A405D" w:rsidR="00FE4009"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sidR="00560E4D" w:rsidRPr="001510AB">
        <w:rPr>
          <w:rFonts w:ascii="Times New Roman" w:eastAsia="宋体" w:hAnsi="Times New Roman"/>
          <w:lang w:eastAsia="en-US"/>
        </w:rPr>
        <w:t>RP-201293 New WID on Enhancements to Integrated Access and Backhaul</w:t>
      </w:r>
      <w:r w:rsidR="00560E4D">
        <w:rPr>
          <w:rFonts w:ascii="Times New Roman" w:eastAsia="宋体" w:hAnsi="Times New Roman"/>
          <w:lang w:eastAsia="en-US"/>
        </w:rPr>
        <w:t xml:space="preserve"> </w:t>
      </w:r>
    </w:p>
    <w:p w14:paraId="0DDB8A08" w14:textId="24022B47" w:rsidR="00952130" w:rsidRDefault="00FE4009" w:rsidP="006A40AE">
      <w:pPr>
        <w:overflowPunct/>
        <w:autoSpaceDE/>
        <w:autoSpaceDN/>
        <w:adjustRightInd/>
        <w:spacing w:after="180"/>
        <w:jc w:val="left"/>
        <w:textAlignment w:val="auto"/>
        <w:rPr>
          <w:b/>
          <w:noProof/>
          <w:sz w:val="24"/>
          <w:szCs w:val="28"/>
          <w:lang w:eastAsia="en-US"/>
        </w:rPr>
      </w:pPr>
      <w:r>
        <w:rPr>
          <w:rFonts w:ascii="Times New Roman" w:eastAsia="宋体" w:hAnsi="Times New Roman"/>
          <w:lang w:eastAsia="en-US"/>
        </w:rPr>
        <w:t>[2]</w:t>
      </w:r>
      <w:r>
        <w:rPr>
          <w:rFonts w:ascii="Times New Roman" w:eastAsia="宋体" w:hAnsi="Times New Roman"/>
          <w:lang w:eastAsia="en-US"/>
        </w:rPr>
        <w:tab/>
      </w:r>
      <w:bookmarkEnd w:id="0"/>
      <w:r w:rsidR="00560E4D">
        <w:rPr>
          <w:rFonts w:ascii="Times New Roman" w:eastAsia="宋体" w:hAnsi="Times New Roman"/>
          <w:lang w:eastAsia="en-US"/>
        </w:rPr>
        <w:t xml:space="preserve">TR 38.874 </w:t>
      </w:r>
      <w:r w:rsidR="00560E4D" w:rsidRPr="001510AB">
        <w:rPr>
          <w:rFonts w:ascii="Times New Roman" w:eastAsia="宋体" w:hAnsi="Times New Roman"/>
          <w:lang w:eastAsia="en-US"/>
        </w:rPr>
        <w:t>Study on Integrated Access and Backhaul; (Release 16)</w:t>
      </w:r>
    </w:p>
    <w:sectPr w:rsidR="0095213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7762" w14:textId="77777777" w:rsidR="00BC6079" w:rsidRDefault="00BC6079">
      <w:r>
        <w:separator/>
      </w:r>
    </w:p>
  </w:endnote>
  <w:endnote w:type="continuationSeparator" w:id="0">
    <w:p w14:paraId="7ACD405C" w14:textId="77777777" w:rsidR="00BC6079" w:rsidRDefault="00BC6079">
      <w:r>
        <w:continuationSeparator/>
      </w:r>
    </w:p>
  </w:endnote>
  <w:endnote w:type="continuationNotice" w:id="1">
    <w:p w14:paraId="1F2327A3" w14:textId="77777777" w:rsidR="00BC6079" w:rsidRDefault="00BC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B567" w14:textId="77777777" w:rsidR="00BC6079" w:rsidRDefault="00BC6079">
      <w:r>
        <w:separator/>
      </w:r>
    </w:p>
  </w:footnote>
  <w:footnote w:type="continuationSeparator" w:id="0">
    <w:p w14:paraId="2F2B4610" w14:textId="77777777" w:rsidR="00BC6079" w:rsidRDefault="00BC6079">
      <w:r>
        <w:continuationSeparator/>
      </w:r>
    </w:p>
  </w:footnote>
  <w:footnote w:type="continuationNotice" w:id="1">
    <w:p w14:paraId="651F9A77" w14:textId="77777777" w:rsidR="00BC6079" w:rsidRDefault="00BC6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9"/>
  </w:num>
  <w:num w:numId="10">
    <w:abstractNumId w:val="23"/>
  </w:num>
  <w:num w:numId="11">
    <w:abstractNumId w:val="2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21"/>
  </w:num>
  <w:num w:numId="18">
    <w:abstractNumId w:val="25"/>
  </w:num>
  <w:num w:numId="19">
    <w:abstractNumId w:val="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5"/>
  </w:num>
  <w:num w:numId="23">
    <w:abstractNumId w:val="16"/>
  </w:num>
  <w:num w:numId="24">
    <w:abstractNumId w:val="9"/>
  </w:num>
  <w:num w:numId="25">
    <w:abstractNumId w:val="10"/>
  </w:num>
  <w:num w:numId="26">
    <w:abstractNumId w:val="7"/>
  </w:num>
  <w:num w:numId="2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57"/>
    <w:rsid w:val="00092207"/>
    <w:rsid w:val="000924C1"/>
    <w:rsid w:val="000924F0"/>
    <w:rsid w:val="00093474"/>
    <w:rsid w:val="00093942"/>
    <w:rsid w:val="000943B7"/>
    <w:rsid w:val="0009482C"/>
    <w:rsid w:val="0009510F"/>
    <w:rsid w:val="0009566A"/>
    <w:rsid w:val="000956ED"/>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B8"/>
    <w:rsid w:val="000E3DEC"/>
    <w:rsid w:val="000E4B95"/>
    <w:rsid w:val="000E6754"/>
    <w:rsid w:val="000F06D6"/>
    <w:rsid w:val="000F0EB1"/>
    <w:rsid w:val="000F1106"/>
    <w:rsid w:val="000F184D"/>
    <w:rsid w:val="000F1873"/>
    <w:rsid w:val="000F26B2"/>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2E37"/>
    <w:rsid w:val="00303E39"/>
    <w:rsid w:val="00304338"/>
    <w:rsid w:val="00304DE9"/>
    <w:rsid w:val="0030501F"/>
    <w:rsid w:val="003070BB"/>
    <w:rsid w:val="00307BA1"/>
    <w:rsid w:val="00310BF9"/>
    <w:rsid w:val="00310C25"/>
    <w:rsid w:val="00311702"/>
    <w:rsid w:val="00311B31"/>
    <w:rsid w:val="00311BB6"/>
    <w:rsid w:val="00311E82"/>
    <w:rsid w:val="003127DA"/>
    <w:rsid w:val="0031309F"/>
    <w:rsid w:val="003137D1"/>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7481"/>
    <w:rsid w:val="00457565"/>
    <w:rsid w:val="00457976"/>
    <w:rsid w:val="00457B71"/>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B9A"/>
    <w:rsid w:val="004A0E54"/>
    <w:rsid w:val="004A16BC"/>
    <w:rsid w:val="004A1C96"/>
    <w:rsid w:val="004A1E83"/>
    <w:rsid w:val="004A2B94"/>
    <w:rsid w:val="004A4186"/>
    <w:rsid w:val="004A41CD"/>
    <w:rsid w:val="004A5941"/>
    <w:rsid w:val="004A61A7"/>
    <w:rsid w:val="004A7CEF"/>
    <w:rsid w:val="004B1999"/>
    <w:rsid w:val="004B1EB4"/>
    <w:rsid w:val="004B29D1"/>
    <w:rsid w:val="004B3F6B"/>
    <w:rsid w:val="004B50E1"/>
    <w:rsid w:val="004B556D"/>
    <w:rsid w:val="004B69CC"/>
    <w:rsid w:val="004B6F96"/>
    <w:rsid w:val="004B7C0C"/>
    <w:rsid w:val="004B7F0A"/>
    <w:rsid w:val="004C14C3"/>
    <w:rsid w:val="004C2515"/>
    <w:rsid w:val="004C29DC"/>
    <w:rsid w:val="004C3898"/>
    <w:rsid w:val="004C389B"/>
    <w:rsid w:val="004C4E39"/>
    <w:rsid w:val="004C504D"/>
    <w:rsid w:val="004C52E1"/>
    <w:rsid w:val="004C54A4"/>
    <w:rsid w:val="004C6074"/>
    <w:rsid w:val="004C6DFE"/>
    <w:rsid w:val="004C6FCD"/>
    <w:rsid w:val="004D0001"/>
    <w:rsid w:val="004D111E"/>
    <w:rsid w:val="004D1A8C"/>
    <w:rsid w:val="004D36B1"/>
    <w:rsid w:val="004D3A12"/>
    <w:rsid w:val="004D483A"/>
    <w:rsid w:val="004D5745"/>
    <w:rsid w:val="004D672E"/>
    <w:rsid w:val="004D73CB"/>
    <w:rsid w:val="004D796E"/>
    <w:rsid w:val="004D7EBD"/>
    <w:rsid w:val="004E16B5"/>
    <w:rsid w:val="004E188C"/>
    <w:rsid w:val="004E2680"/>
    <w:rsid w:val="004E28F9"/>
    <w:rsid w:val="004E2A75"/>
    <w:rsid w:val="004E2DB7"/>
    <w:rsid w:val="004E3357"/>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62F"/>
    <w:rsid w:val="00544BAC"/>
    <w:rsid w:val="00546970"/>
    <w:rsid w:val="00547B5B"/>
    <w:rsid w:val="00550C90"/>
    <w:rsid w:val="00551A0E"/>
    <w:rsid w:val="00552418"/>
    <w:rsid w:val="005526A7"/>
    <w:rsid w:val="005529AB"/>
    <w:rsid w:val="00552B00"/>
    <w:rsid w:val="00553C13"/>
    <w:rsid w:val="00554E19"/>
    <w:rsid w:val="00554E79"/>
    <w:rsid w:val="00555E3A"/>
    <w:rsid w:val="00556302"/>
    <w:rsid w:val="005565C7"/>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FEE"/>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85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BCF"/>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6B6"/>
    <w:rsid w:val="007B1925"/>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6090"/>
    <w:rsid w:val="00846723"/>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E2E"/>
    <w:rsid w:val="008F600C"/>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A4E"/>
    <w:rsid w:val="00924DAC"/>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28F9"/>
    <w:rsid w:val="00953539"/>
    <w:rsid w:val="00953920"/>
    <w:rsid w:val="00953D47"/>
    <w:rsid w:val="0095412A"/>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90248"/>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B26"/>
    <w:rsid w:val="00AD3F90"/>
    <w:rsid w:val="00AD3F94"/>
    <w:rsid w:val="00AD4667"/>
    <w:rsid w:val="00AD4A5A"/>
    <w:rsid w:val="00AD5754"/>
    <w:rsid w:val="00AD6192"/>
    <w:rsid w:val="00AD67FE"/>
    <w:rsid w:val="00AE138B"/>
    <w:rsid w:val="00AE1AEC"/>
    <w:rsid w:val="00AE27AC"/>
    <w:rsid w:val="00AE27E4"/>
    <w:rsid w:val="00AE3B98"/>
    <w:rsid w:val="00AE40E0"/>
    <w:rsid w:val="00AE4209"/>
    <w:rsid w:val="00AE4D6C"/>
    <w:rsid w:val="00AE4DBA"/>
    <w:rsid w:val="00AE4F07"/>
    <w:rsid w:val="00AE5313"/>
    <w:rsid w:val="00AE53EE"/>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216"/>
    <w:rsid w:val="00B739F6"/>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A82"/>
    <w:rsid w:val="00C46CEC"/>
    <w:rsid w:val="00C4742E"/>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CE5"/>
    <w:rsid w:val="00C671C8"/>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590"/>
    <w:rsid w:val="00CA12D1"/>
    <w:rsid w:val="00CA1D8C"/>
    <w:rsid w:val="00CA1ED8"/>
    <w:rsid w:val="00CA31A3"/>
    <w:rsid w:val="00CA3D41"/>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FDB"/>
    <w:rsid w:val="00CE585C"/>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1D27"/>
    <w:rsid w:val="00DD2697"/>
    <w:rsid w:val="00DD42EC"/>
    <w:rsid w:val="00DD6FC6"/>
    <w:rsid w:val="00DD740E"/>
    <w:rsid w:val="00DD7789"/>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480"/>
    <w:rsid w:val="00E518D7"/>
    <w:rsid w:val="00E51F25"/>
    <w:rsid w:val="00E52A55"/>
    <w:rsid w:val="00E53B75"/>
    <w:rsid w:val="00E54E3B"/>
    <w:rsid w:val="00E5509A"/>
    <w:rsid w:val="00E566F3"/>
    <w:rsid w:val="00E57565"/>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62C3"/>
    <w:rsid w:val="00EA6AE5"/>
    <w:rsid w:val="00EA7A41"/>
    <w:rsid w:val="00EA7D81"/>
    <w:rsid w:val="00EB05A0"/>
    <w:rsid w:val="00EB077B"/>
    <w:rsid w:val="00EB2190"/>
    <w:rsid w:val="00EB40A6"/>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47DD5"/>
    <w:rsid w:val="00F507D1"/>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35B7"/>
    <w:rsid w:val="00FC4AD0"/>
    <w:rsid w:val="00FC6640"/>
    <w:rsid w:val="00FC6982"/>
    <w:rsid w:val="00FC7313"/>
    <w:rsid w:val="00FC7429"/>
    <w:rsid w:val="00FD055A"/>
    <w:rsid w:val="00FD075F"/>
    <w:rsid w:val="00FD07F6"/>
    <w:rsid w:val="00FD0F96"/>
    <w:rsid w:val="00FD1963"/>
    <w:rsid w:val="00FD1EC8"/>
    <w:rsid w:val="00FD2562"/>
    <w:rsid w:val="00FD3445"/>
    <w:rsid w:val="00FD3FB3"/>
    <w:rsid w:val="00FD47ED"/>
    <w:rsid w:val="00FD5F15"/>
    <w:rsid w:val="00FD74DB"/>
    <w:rsid w:val="00FD7660"/>
    <w:rsid w:val="00FE0655"/>
    <w:rsid w:val="00FE1E40"/>
    <w:rsid w:val="00FE20E2"/>
    <w:rsid w:val="00FE2365"/>
    <w:rsid w:val="00FE26A4"/>
    <w:rsid w:val="00FE4009"/>
    <w:rsid w:val="00FE4659"/>
    <w:rsid w:val="00FE4B0E"/>
    <w:rsid w:val="00FE4C7B"/>
    <w:rsid w:val="00FE4CAF"/>
    <w:rsid w:val="00FE5670"/>
    <w:rsid w:val="00FE5E76"/>
    <w:rsid w:val="00FE7078"/>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5AIRPNAIUNRU-1156379521-1841</_dlc_DocId>
    <_dlc_DocIdUrl xmlns="71c5aaf6-e6ce-465b-b873-5148d2a4c105">
      <Url>https://nokia.sharepoint.com/sites/c5g/e2earch/_layouts/15/DocIdRedir.aspx?ID=5AIRPNAIUNRU-1156379521-1841</Url>
      <Description>5AIRPNAIUNRU-1156379521-1841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b1e1cf1a-759b-4612-9ceb-2888e9efb08a"/>
    <ds:schemaRef ds:uri="3b34c8f0-1ef5-4d1e-bb66-517ce7fe7356"/>
    <ds:schemaRef ds:uri="http://www.w3.org/XML/1998/namespac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59198A71-6CEA-46DC-9A5F-55B61767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4</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2</cp:revision>
  <cp:lastPrinted>2020-05-20T07:03:00Z</cp:lastPrinted>
  <dcterms:created xsi:type="dcterms:W3CDTF">2020-08-07T02:40:00Z</dcterms:created>
  <dcterms:modified xsi:type="dcterms:W3CDTF">2020-08-07T02:40:00Z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c2112ad7-6c32-4282-ac3f-abbbab673110</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